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656" w:rsidRDefault="00E17656" w:rsidP="00E17656">
      <w:pPr>
        <w:spacing w:after="0" w:line="276" w:lineRule="auto"/>
        <w:ind w:left="360"/>
        <w:jc w:val="center"/>
        <w:rPr>
          <w:rFonts w:ascii="Garamond" w:eastAsia="Times New Roman" w:hAnsi="Garamond" w:cs="Times New Roman"/>
          <w:b/>
          <w:color w:val="FFFFFF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b/>
          <w:sz w:val="29"/>
          <w:szCs w:val="29"/>
          <w:lang w:eastAsia="ru-RU"/>
        </w:rPr>
        <w:t xml:space="preserve">Вопросы к </w:t>
      </w:r>
      <w:r>
        <w:rPr>
          <w:rFonts w:ascii="Garamond" w:eastAsia="Times New Roman" w:hAnsi="Garamond" w:cs="Times New Roman"/>
          <w:b/>
          <w:sz w:val="29"/>
          <w:szCs w:val="29"/>
          <w:lang w:eastAsia="ru-RU"/>
        </w:rPr>
        <w:t>зачет</w:t>
      </w:r>
      <w:r w:rsidRPr="00E17656">
        <w:rPr>
          <w:rFonts w:ascii="Garamond" w:eastAsia="Times New Roman" w:hAnsi="Garamond" w:cs="Times New Roman"/>
          <w:b/>
          <w:sz w:val="29"/>
          <w:szCs w:val="29"/>
          <w:lang w:eastAsia="ru-RU"/>
        </w:rPr>
        <w:t>у по дисциплине «Финансовые рынки»</w:t>
      </w:r>
      <w:r w:rsidRPr="00E17656">
        <w:rPr>
          <w:rFonts w:ascii="Garamond" w:eastAsia="Times New Roman" w:hAnsi="Garamond" w:cs="Times New Roman"/>
          <w:b/>
          <w:color w:val="FFFFFF"/>
          <w:sz w:val="29"/>
          <w:szCs w:val="29"/>
          <w:lang w:eastAsia="ru-RU"/>
        </w:rPr>
        <w:t xml:space="preserve"> </w:t>
      </w:r>
      <w:bookmarkStart w:id="0" w:name="_GoBack"/>
      <w:bookmarkEnd w:id="0"/>
    </w:p>
    <w:p w:rsidR="00E17656" w:rsidRPr="00E17656" w:rsidRDefault="00E17656" w:rsidP="00E17656">
      <w:pPr>
        <w:spacing w:after="0" w:line="276" w:lineRule="auto"/>
        <w:ind w:left="360"/>
        <w:jc w:val="center"/>
        <w:rPr>
          <w:rFonts w:ascii="Garamond" w:eastAsia="Times New Roman" w:hAnsi="Garamond" w:cs="Times New Roman"/>
          <w:b/>
          <w:color w:val="FFFFFF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b/>
          <w:color w:val="FFFFFF"/>
          <w:sz w:val="29"/>
          <w:szCs w:val="29"/>
          <w:lang w:eastAsia="ru-RU"/>
        </w:rPr>
        <w:t>ту)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Понятие, структура, экономическая роль и функции денежного рынка</w:t>
      </w: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Инфраструктура денежного рынка. Электронная система расчетов Банка России.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Инфраструктура денежного рынка. Прямые межбанковские расчеты.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Расчетные небанковские кредитные организации (НКО). Клиринговые системы расчетов.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Рынок денег центрального банка. Инструменты регулирования денежного рынка.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Рынок межбанковских депозитов и кредитов.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Особенности обращения векселей и экономическая роль вексельного рынка.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Рынок краткосрочного государственного долга.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Рынок золота и операции с драгоценными металлами.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Понятие, цели и задачи срочного денежного рынка. Управление рисками процентных ставок.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Понятие, режимы и условия введения конвертируемости валют.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Понятие, виды и режимы валютных курсов.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Курс валюты в условиях инфляции. Валютный демпинг. Условия и последствия его применения.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Понятие, структура и функции валютного рынка. Виды валютных рынков.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color w:val="000000"/>
          <w:sz w:val="29"/>
          <w:szCs w:val="29"/>
          <w:lang w:eastAsia="ru-RU"/>
        </w:rPr>
        <w:t xml:space="preserve">Котировка валюты дилером. </w:t>
      </w: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Курсы покупателя и продавца.</w:t>
      </w:r>
      <w:r w:rsidRPr="00E17656">
        <w:rPr>
          <w:rFonts w:ascii="Garamond" w:eastAsia="Times New Roman" w:hAnsi="Garamond" w:cs="Times New Roman"/>
          <w:color w:val="000000"/>
          <w:sz w:val="29"/>
          <w:szCs w:val="29"/>
          <w:lang w:eastAsia="ru-RU"/>
        </w:rPr>
        <w:t xml:space="preserve"> Курсы «спот» и «форвард». </w:t>
      </w: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Понятие валютной маржи.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Основные виды валютных операций.</w:t>
      </w:r>
      <w:r w:rsidRPr="00E17656">
        <w:rPr>
          <w:rFonts w:ascii="Garamond" w:eastAsia="Times New Roman" w:hAnsi="Garamond" w:cs="Times New Roman"/>
          <w:color w:val="000000"/>
          <w:sz w:val="29"/>
          <w:szCs w:val="29"/>
          <w:lang w:eastAsia="ru-RU"/>
        </w:rPr>
        <w:t xml:space="preserve"> </w:t>
      </w: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Дилинговые операции банков.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Валютная позиция и валютные риски. Методы и инструменты управления валютными рисками.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>Инструменты регулирования валютного рынка и контроль за валютными операциями.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 xml:space="preserve">Международный валютный рынок </w:t>
      </w:r>
      <w:proofErr w:type="spellStart"/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Forex</w:t>
      </w:r>
      <w:proofErr w:type="spellEnd"/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. Механизм функционирования рынка евровалют.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 xml:space="preserve">Дисконтные векселя и коммерческие бумаги. </w:t>
      </w:r>
      <w:proofErr w:type="spellStart"/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Еврокоммерческие</w:t>
      </w:r>
      <w:proofErr w:type="spellEnd"/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 xml:space="preserve"> бумаги, их оценка.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Биржевые фьючерсные контракты по процентным ставкам, стратегии их использования для хеджирования процентных рисков, взаимосвязь с внебиржевыми форвардными контрактами.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 xml:space="preserve">Процентные свопы. Хеджирование с помощью процентных свопов. 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lastRenderedPageBreak/>
        <w:t>Опционы на процентные фьючерсы. Биржевые контракты на процентные опционы.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Опционы на соглашения о будущей процентной ставке (гарантии процентной ставки) как разновидности внебиржевых опционов.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 xml:space="preserve">Валютные свопы и их виды. Форвардные даты валютирования и их виды. Специфика рынка свопов и основные цели их использования форвардными трейдерами. 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  <w:t xml:space="preserve">Срочные валютные операции. </w:t>
      </w:r>
      <w:r w:rsidRPr="00E17656">
        <w:rPr>
          <w:rFonts w:ascii="Garamond" w:eastAsia="Times New Roman" w:hAnsi="Garamond" w:cs="Times New Roman"/>
          <w:color w:val="000000"/>
          <w:sz w:val="29"/>
          <w:szCs w:val="29"/>
          <w:lang w:eastAsia="ru-RU"/>
        </w:rPr>
        <w:t>Применение срочных сделок для страхования валютного риска.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color w:val="000000"/>
          <w:sz w:val="29"/>
          <w:szCs w:val="29"/>
          <w:lang w:eastAsia="ru-RU"/>
        </w:rPr>
        <w:t>Спекулятивные сделки с иностранной валютой.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color w:val="000000"/>
          <w:sz w:val="29"/>
          <w:szCs w:val="29"/>
          <w:lang w:eastAsia="ru-RU"/>
        </w:rPr>
        <w:t>Государственные ценные бумаги.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Валютные деривативы, их виды и краткая характеристика.</w:t>
      </w:r>
      <w:r w:rsidRPr="00E17656">
        <w:rPr>
          <w:rFonts w:ascii="Garamond" w:eastAsia="Times New Roman" w:hAnsi="Garamond" w:cs="Times New Roman"/>
          <w:bCs/>
          <w:sz w:val="29"/>
          <w:szCs w:val="29"/>
          <w:lang w:eastAsia="ru-RU"/>
        </w:rPr>
        <w:t xml:space="preserve"> 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bCs/>
          <w:sz w:val="29"/>
          <w:szCs w:val="29"/>
          <w:lang w:eastAsia="ru-RU"/>
        </w:rPr>
        <w:t>Облигации и их характеристика</w:t>
      </w: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 xml:space="preserve">. 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Акции и их характеристика.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bCs/>
          <w:sz w:val="29"/>
          <w:szCs w:val="29"/>
          <w:lang w:eastAsia="ru-RU"/>
        </w:rPr>
        <w:t>Производные ценные бумаги</w:t>
      </w:r>
      <w:r w:rsidRPr="00E17656">
        <w:rPr>
          <w:rFonts w:ascii="Garamond" w:eastAsia="Times New Roman" w:hAnsi="Garamond" w:cs="Times New Roman"/>
          <w:sz w:val="29"/>
          <w:szCs w:val="29"/>
        </w:rPr>
        <w:t>.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napToGrid w:val="0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 xml:space="preserve">Биржевой и внебиржевой рынок. 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hyperlink w:anchor="bookmark8" w:tooltip="Current Document">
        <w:r w:rsidRPr="00E17656">
          <w:rPr>
            <w:rFonts w:ascii="Garamond" w:eastAsia="Times New Roman" w:hAnsi="Garamond" w:cs="Times New Roman"/>
            <w:sz w:val="29"/>
            <w:szCs w:val="29"/>
          </w:rPr>
          <w:t xml:space="preserve">Структура современного финансового рынка </w:t>
        </w:r>
      </w:hyperlink>
    </w:p>
    <w:p w:rsidR="00E17656" w:rsidRPr="00E17656" w:rsidRDefault="00E17656" w:rsidP="00E17656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fldChar w:fldCharType="begin"/>
      </w:r>
      <w:r w:rsidRPr="00E17656">
        <w:rPr>
          <w:rFonts w:ascii="Garamond" w:eastAsia="Times New Roman" w:hAnsi="Garamond" w:cs="Times New Roman"/>
          <w:sz w:val="29"/>
          <w:szCs w:val="29"/>
        </w:rPr>
        <w:instrText xml:space="preserve"> HYPERLINK \l "bookmark9" \o "Current Document" \h </w:instrText>
      </w:r>
      <w:r w:rsidRPr="00E17656">
        <w:rPr>
          <w:rFonts w:ascii="Garamond" w:eastAsia="Times New Roman" w:hAnsi="Garamond" w:cs="Times New Roman"/>
          <w:sz w:val="29"/>
          <w:szCs w:val="29"/>
        </w:rPr>
        <w:fldChar w:fldCharType="separate"/>
      </w:r>
      <w:r w:rsidRPr="00E17656">
        <w:rPr>
          <w:rFonts w:ascii="Garamond" w:eastAsia="Times New Roman" w:hAnsi="Garamond" w:cs="Times New Roman"/>
          <w:sz w:val="29"/>
          <w:szCs w:val="29"/>
        </w:rPr>
        <w:t>Эволюция финансового рынка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Функци</w:t>
      </w:r>
      <w:r w:rsidRPr="00E17656">
        <w:rPr>
          <w:rFonts w:ascii="Garamond" w:eastAsia="Times New Roman" w:hAnsi="Garamond" w:cs="Times New Roman"/>
          <w:sz w:val="29"/>
          <w:szCs w:val="29"/>
        </w:rPr>
        <w:fldChar w:fldCharType="end"/>
      </w:r>
      <w:r w:rsidRPr="00E17656">
        <w:rPr>
          <w:rFonts w:ascii="Garamond" w:eastAsia="Times New Roman" w:hAnsi="Garamond" w:cs="Times New Roman"/>
          <w:sz w:val="29"/>
          <w:szCs w:val="29"/>
        </w:rPr>
        <w:t>и финансового рынка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hyperlink w:anchor="bookmark10" w:tooltip="Current Document">
        <w:r w:rsidRPr="00E17656">
          <w:rPr>
            <w:rFonts w:ascii="Garamond" w:eastAsia="Times New Roman" w:hAnsi="Garamond" w:cs="Times New Roman"/>
            <w:sz w:val="29"/>
            <w:szCs w:val="29"/>
          </w:rPr>
          <w:t>Участники финансового рынка</w:t>
        </w:r>
      </w:hyperlink>
    </w:p>
    <w:p w:rsidR="00E17656" w:rsidRPr="00E17656" w:rsidRDefault="00E17656" w:rsidP="00E17656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Виды финансовых посредников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0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 xml:space="preserve">Функции финансовых посредников 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06"/>
          <w:tab w:val="right" w:leader="dot" w:pos="6325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hyperlink w:anchor="bookmark11" w:tooltip="Current Document">
        <w:r w:rsidRPr="00E17656">
          <w:rPr>
            <w:rFonts w:ascii="Garamond" w:eastAsia="Times New Roman" w:hAnsi="Garamond" w:cs="Times New Roman"/>
            <w:sz w:val="29"/>
            <w:szCs w:val="29"/>
          </w:rPr>
          <w:t xml:space="preserve">Регулирование финансового рынка и деятельности его участников </w:t>
        </w:r>
      </w:hyperlink>
    </w:p>
    <w:p w:rsidR="00E17656" w:rsidRPr="00E17656" w:rsidRDefault="00E17656" w:rsidP="00E17656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Понятие валютного рынка и его структура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17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Основные участники валютного рынка и их операции</w:t>
      </w:r>
      <w:r w:rsidRPr="00E17656">
        <w:rPr>
          <w:rFonts w:ascii="Garamond" w:eastAsia="Times New Roman" w:hAnsi="Garamond" w:cs="Times New Roman"/>
          <w:sz w:val="29"/>
          <w:szCs w:val="29"/>
        </w:rPr>
        <w:tab/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17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Валютные операции на национальном валютном рынке</w:t>
      </w:r>
      <w:r w:rsidRPr="00E17656">
        <w:rPr>
          <w:rFonts w:ascii="Garamond" w:eastAsia="Times New Roman" w:hAnsi="Garamond" w:cs="Times New Roman"/>
          <w:sz w:val="29"/>
          <w:szCs w:val="29"/>
        </w:rPr>
        <w:tab/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17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Основные финансовые инструменты валютного рынка и стратегии участников рынка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2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Регулирование открытых валютных позиций банков Банком России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Кредит как особый финансовый инструмент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Кредитный рынок, его основные характеристики и классификация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Рынок банковских депозитов (вкладов)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Рынок банковского корпоративного кредитования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Банковский рынок потребительских и других кредитов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Межбанковский кредитный рынок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Инфраструктура банковского кредитного рынка и его регулирование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Перспективы развития банковского кредитного рынка</w:t>
      </w:r>
      <w:r w:rsidRPr="00E17656">
        <w:rPr>
          <w:rFonts w:ascii="Garamond" w:eastAsia="Times New Roman" w:hAnsi="Garamond" w:cs="Times New Roman"/>
          <w:sz w:val="29"/>
          <w:szCs w:val="29"/>
        </w:rPr>
        <w:tab/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lastRenderedPageBreak/>
        <w:t>Структура рынка ипотечного кредитования, особенности его функционирования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Особенности залога отдельных видов недвижимого имущества в РФ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Инструменты ипотечного кредитования и ипотечные технологии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Основные модели привлечения ресурсов на рынок ипотечного кредитования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6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Рынок ипотечного жилищного кредитования в Российской Федерации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Рынок микрокредитования (микрофинансирования)</w:t>
      </w:r>
      <w:r w:rsidRPr="00E17656">
        <w:rPr>
          <w:rFonts w:ascii="Garamond" w:eastAsia="Times New Roman" w:hAnsi="Garamond" w:cs="Times New Roman"/>
          <w:sz w:val="29"/>
          <w:szCs w:val="29"/>
        </w:rPr>
        <w:tab/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Понятие рынка ценных бумаг и его функции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Виды и классификация ценных бумаг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Ипотечные ценные бумаги</w:t>
      </w:r>
    </w:p>
    <w:p w:rsidR="00E17656" w:rsidRPr="00E17656" w:rsidRDefault="00E17656" w:rsidP="00E17656">
      <w:pPr>
        <w:numPr>
          <w:ilvl w:val="0"/>
          <w:numId w:val="1"/>
        </w:numPr>
        <w:tabs>
          <w:tab w:val="left" w:pos="622"/>
          <w:tab w:val="right" w:leader="dot" w:pos="6001"/>
        </w:tabs>
        <w:spacing w:after="0" w:line="276" w:lineRule="auto"/>
        <w:jc w:val="both"/>
        <w:rPr>
          <w:rFonts w:ascii="Garamond" w:eastAsia="Times New Roman" w:hAnsi="Garamond" w:cs="Times New Roman"/>
          <w:sz w:val="29"/>
          <w:szCs w:val="29"/>
        </w:rPr>
      </w:pPr>
      <w:r w:rsidRPr="00E17656">
        <w:rPr>
          <w:rFonts w:ascii="Garamond" w:eastAsia="Times New Roman" w:hAnsi="Garamond" w:cs="Times New Roman"/>
          <w:sz w:val="29"/>
          <w:szCs w:val="29"/>
        </w:rPr>
        <w:t>Институциональная структура рынка ценных бумаг</w:t>
      </w:r>
      <w:r w:rsidRPr="00E17656">
        <w:rPr>
          <w:rFonts w:ascii="Garamond" w:eastAsia="Times New Roman" w:hAnsi="Garamond" w:cs="Times New Roman"/>
          <w:sz w:val="29"/>
          <w:szCs w:val="29"/>
        </w:rPr>
        <w:tab/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Регулирование рынка ценных бумаг</w:t>
      </w: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ab/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Современные тенденции развития рынка ценных бумаг в России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Сущность страхования: его формы и виды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Рынок страховых услуг, его структура и функции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Участники страхового рынка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Страховые продукты и технологии работы страховых компаний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Государственное регулирование страховой деятельности в РФ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Современное состояние российского страхового рынка и перспективы его развития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Рынок золота как особый сегмент финансового рынка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Участники рынка золота и его функции</w:t>
      </w:r>
    </w:p>
    <w:p w:rsidR="00E17656" w:rsidRPr="00E17656" w:rsidRDefault="00E17656" w:rsidP="00E1765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aramond" w:eastAsia="Times New Roman" w:hAnsi="Garamond" w:cs="Times New Roman"/>
          <w:sz w:val="29"/>
          <w:szCs w:val="29"/>
          <w:lang w:eastAsia="ru-RU"/>
        </w:rPr>
      </w:pPr>
      <w:r w:rsidRPr="00E17656">
        <w:rPr>
          <w:rFonts w:ascii="Garamond" w:eastAsia="Times New Roman" w:hAnsi="Garamond" w:cs="Times New Roman"/>
          <w:sz w:val="29"/>
          <w:szCs w:val="29"/>
          <w:lang w:eastAsia="ru-RU"/>
        </w:rPr>
        <w:t>Основные виды банковских операций с драгоценными металлами и технологии их проведения.</w:t>
      </w:r>
    </w:p>
    <w:p w:rsidR="004B04B2" w:rsidRDefault="004B04B2"/>
    <w:sectPr w:rsidR="004B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63597"/>
    <w:multiLevelType w:val="multilevel"/>
    <w:tmpl w:val="DECCF8C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1" w15:restartNumberingAfterBreak="0">
    <w:nsid w:val="536763AE"/>
    <w:multiLevelType w:val="hybridMultilevel"/>
    <w:tmpl w:val="A6C4240E"/>
    <w:lvl w:ilvl="0" w:tplc="B99664A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56"/>
    <w:rsid w:val="004B04B2"/>
    <w:rsid w:val="00E1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E3F1"/>
  <w15:chartTrackingRefBased/>
  <w15:docId w15:val="{8D03176D-B259-49EF-8DA7-6A170744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Nickolay Uglitskikh</dc:creator>
  <cp:keywords/>
  <dc:description/>
  <cp:lastModifiedBy>Nickolay Uglitskikh</cp:lastModifiedBy>
  <cp:revision>1</cp:revision>
  <dcterms:created xsi:type="dcterms:W3CDTF">2020-06-19T12:17:00Z</dcterms:created>
  <dcterms:modified xsi:type="dcterms:W3CDTF">2020-06-19T12:18:00Z</dcterms:modified>
</cp:coreProperties>
</file>